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Default="00892DC5" w:rsidP="00892DC5">
      <w:pPr>
        <w:pStyle w:val="NoSpacing"/>
      </w:pPr>
      <w:r>
        <w:t>The T</w:t>
      </w:r>
      <w:r w:rsidR="00083A01">
        <w:t>abor City Council met in regular</w:t>
      </w:r>
      <w:r>
        <w:t xml:space="preserve"> session </w:t>
      </w:r>
      <w:r w:rsidR="003F3D5E">
        <w:t xml:space="preserve">on </w:t>
      </w:r>
      <w:r w:rsidR="004648AF">
        <w:rPr>
          <w:b/>
        </w:rPr>
        <w:t>July 17</w:t>
      </w:r>
      <w:r w:rsidR="00D30D02">
        <w:rPr>
          <w:b/>
        </w:rPr>
        <w:t>, 2019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4648AF">
        <w:t xml:space="preserve">at 6:05 </w:t>
      </w:r>
      <w:r w:rsidR="009B4735">
        <w:t xml:space="preserve">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7F3BF1">
        <w:t xml:space="preserve"> Silcock</w:t>
      </w:r>
      <w:r w:rsidR="004648AF">
        <w:t>, Bartholomew</w:t>
      </w:r>
      <w:r w:rsidR="00383C27">
        <w:t xml:space="preserve"> and Wirth,</w:t>
      </w:r>
      <w:r w:rsidR="009A02B6">
        <w:t xml:space="preserve"> City Clerk Mary King-Bateman</w:t>
      </w:r>
      <w:r w:rsidR="00084EB9">
        <w:t>. City employees</w:t>
      </w:r>
      <w:r w:rsidR="003F3D5E">
        <w:t xml:space="preserve"> Assistant</w:t>
      </w:r>
      <w:r w:rsidR="00954E8E" w:rsidRPr="00954E8E">
        <w:t xml:space="preserve"> Superintendent Wes Hill</w:t>
      </w:r>
      <w:r w:rsidR="004648AF">
        <w:t>,</w:t>
      </w:r>
      <w:r w:rsidR="0021072B">
        <w:t xml:space="preserve"> Library Director Dawn Miller</w:t>
      </w:r>
      <w:r w:rsidR="004648AF">
        <w:t xml:space="preserve"> and </w:t>
      </w:r>
      <w:r w:rsidR="004648AF" w:rsidRPr="004648AF">
        <w:t>Chief Derek Aistrope</w:t>
      </w:r>
      <w:r w:rsidR="004648AF">
        <w:t>.</w:t>
      </w:r>
      <w:r w:rsidR="00CC1D72">
        <w:t xml:space="preserve"> Absent Jennifer Williams. Councilperson Wake entered the meeting at 6:20 p.m.</w:t>
      </w:r>
    </w:p>
    <w:p w:rsidR="00383C27" w:rsidRDefault="00383C27" w:rsidP="00892DC5">
      <w:pPr>
        <w:pStyle w:val="NoSpacing"/>
      </w:pPr>
    </w:p>
    <w:p w:rsidR="008D73B1" w:rsidRDefault="00E4164B" w:rsidP="00892DC5">
      <w:pPr>
        <w:pStyle w:val="NoSpacing"/>
      </w:pPr>
      <w:r>
        <w:t>Consent A</w:t>
      </w:r>
      <w:r w:rsidR="00904DC4">
        <w:t>genda,</w:t>
      </w:r>
      <w:r w:rsidR="004648AF">
        <w:t xml:space="preserve"> June</w:t>
      </w:r>
      <w:r w:rsidR="006769AF">
        <w:t xml:space="preserve"> Minutes, </w:t>
      </w:r>
      <w:r w:rsidR="009729DC">
        <w:t>financial reports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9B4735">
        <w:t xml:space="preserve"> </w:t>
      </w:r>
      <w:r w:rsidR="00383C27">
        <w:t>Bartholomew</w:t>
      </w:r>
      <w:r w:rsidR="00D30D02">
        <w:t>,</w:t>
      </w:r>
      <w:r w:rsidR="00D30D02" w:rsidRPr="00D30D02">
        <w:t xml:space="preserve"> </w:t>
      </w:r>
      <w:r w:rsidR="00D30D02">
        <w:t>s</w:t>
      </w:r>
      <w:r w:rsidR="002A1CEF">
        <w:t>econded by</w:t>
      </w:r>
      <w:r w:rsidR="004648AF">
        <w:t xml:space="preserve"> Silcock</w:t>
      </w:r>
      <w:r w:rsidR="00D05004">
        <w:t>. All Ayes.</w:t>
      </w:r>
    </w:p>
    <w:p w:rsidR="00CC1D72" w:rsidRDefault="00CC1D72" w:rsidP="00892DC5">
      <w:pPr>
        <w:pStyle w:val="NoSpacing"/>
      </w:pPr>
    </w:p>
    <w:p w:rsidR="00CC1D72" w:rsidRDefault="00CC1D72" w:rsidP="00892DC5">
      <w:pPr>
        <w:pStyle w:val="NoSpacing"/>
      </w:pPr>
      <w:r>
        <w:t>R-4-19 a resolution to approve journal entries to transfer funds to correct accounts for FY2019. Motion to approve by Silcock, second Wirth. Roll call vote. Ayes – Bartholomew, Silcock, Wirth. Nays – none, Absent – Wake and Williams.</w:t>
      </w:r>
    </w:p>
    <w:p w:rsidR="00CC1D72" w:rsidRDefault="00CC1D72" w:rsidP="00892DC5">
      <w:pPr>
        <w:pStyle w:val="NoSpacing"/>
      </w:pPr>
      <w:r>
        <w:t>Motion carries.</w:t>
      </w:r>
    </w:p>
    <w:p w:rsidR="00727E1E" w:rsidRDefault="00727E1E" w:rsidP="00892DC5">
      <w:pPr>
        <w:pStyle w:val="NoSpacing"/>
      </w:pPr>
    </w:p>
    <w:p w:rsidR="00CC1D72" w:rsidRDefault="00CC1D72" w:rsidP="00CC1D72">
      <w:pPr>
        <w:pStyle w:val="NoSpacing"/>
      </w:pPr>
      <w:r>
        <w:t>R-</w:t>
      </w:r>
      <w:r>
        <w:t>5</w:t>
      </w:r>
      <w:r>
        <w:t xml:space="preserve">-19 </w:t>
      </w:r>
      <w:r w:rsidR="009F78EE">
        <w:t>a conflict of interest policy</w:t>
      </w:r>
      <w:r>
        <w:t xml:space="preserve">. Motion to approve by </w:t>
      </w:r>
      <w:r w:rsidR="009F78EE">
        <w:t>Bartholomew</w:t>
      </w:r>
      <w:r>
        <w:t>, second Wirth. Roll call vote. Ayes – Bartholomew, Silcock, Wirth. Nays – none, Absent – Wake and Williams.</w:t>
      </w:r>
    </w:p>
    <w:p w:rsidR="00CC1D72" w:rsidRDefault="00CC1D72" w:rsidP="00CC1D72">
      <w:pPr>
        <w:pStyle w:val="NoSpacing"/>
      </w:pPr>
    </w:p>
    <w:p w:rsidR="00C770AE" w:rsidRDefault="009F78EE" w:rsidP="00CC1D72">
      <w:pPr>
        <w:pStyle w:val="NoSpacing"/>
      </w:pPr>
      <w:r>
        <w:t>Motion by Bartholomew, second Wirth to rescind R-5-19 a conflict of interest policy to include language that allows the Chief of Police and part time police staff to use uniform equipment if working at a secondary law enforcement employer. These changes will be presented at the next meeting. All ayes.</w:t>
      </w:r>
    </w:p>
    <w:p w:rsidR="00C770AE" w:rsidRDefault="00C770AE" w:rsidP="00CC1D72">
      <w:pPr>
        <w:pStyle w:val="NoSpacing"/>
      </w:pPr>
    </w:p>
    <w:p w:rsidR="00CC1D72" w:rsidRDefault="00C770AE" w:rsidP="00892DC5">
      <w:pPr>
        <w:pStyle w:val="NoSpacing"/>
      </w:pPr>
      <w:r>
        <w:t>Motion by Bartholomew, second Silcock to table R-6-19 street finance report to the next meeting. All Ayes.</w:t>
      </w:r>
    </w:p>
    <w:p w:rsidR="00C770AE" w:rsidRDefault="00C770AE" w:rsidP="00892DC5">
      <w:pPr>
        <w:pStyle w:val="NoSpacing"/>
      </w:pPr>
    </w:p>
    <w:p w:rsidR="00C770AE" w:rsidRDefault="00C770AE" w:rsidP="00C770AE">
      <w:pPr>
        <w:pStyle w:val="NoSpacing"/>
      </w:pPr>
      <w:r>
        <w:t>Motion</w:t>
      </w:r>
      <w:r>
        <w:t xml:space="preserve"> by Silcock, second Bartholomew to table R-7</w:t>
      </w:r>
      <w:r>
        <w:t xml:space="preserve">-19 </w:t>
      </w:r>
      <w:r>
        <w:t>a written investment policy</w:t>
      </w:r>
      <w:r>
        <w:t xml:space="preserve"> to the next meeting. All Ayes.</w:t>
      </w:r>
    </w:p>
    <w:p w:rsidR="00C770AE" w:rsidRDefault="00C770AE" w:rsidP="00892DC5">
      <w:pPr>
        <w:pStyle w:val="NoSpacing"/>
      </w:pPr>
    </w:p>
    <w:p w:rsidR="0021072B" w:rsidRDefault="004648AF" w:rsidP="00892DC5">
      <w:pPr>
        <w:pStyle w:val="NoSpacing"/>
      </w:pPr>
      <w:r>
        <w:t>D</w:t>
      </w:r>
      <w:r w:rsidR="00383C27">
        <w:t xml:space="preserve">iscussion </w:t>
      </w:r>
      <w:r w:rsidR="00C770AE">
        <w:t>involving Center</w:t>
      </w:r>
      <w:r>
        <w:t xml:space="preserve"> Street</w:t>
      </w:r>
      <w:r w:rsidR="00CC1D72">
        <w:t xml:space="preserve"> repair</w:t>
      </w:r>
      <w:r>
        <w:t xml:space="preserve"> continues. </w:t>
      </w:r>
      <w:r w:rsidR="00383C27">
        <w:t xml:space="preserve"> Wes </w:t>
      </w:r>
      <w:r>
        <w:t>Hill will c</w:t>
      </w:r>
      <w:r w:rsidR="00AD4CAB">
        <w:t>ontact JEO</w:t>
      </w:r>
      <w:r w:rsidR="00CC1D72">
        <w:t xml:space="preserve"> Consulting Group to look into costs and repair options. </w:t>
      </w:r>
      <w:r w:rsidR="0026186D">
        <w:t xml:space="preserve"> Motion to table the discussion to the next meet</w:t>
      </w:r>
      <w:r w:rsidR="00CC1D72">
        <w:t>ing by Wirth, second by Wake</w:t>
      </w:r>
      <w:r w:rsidR="0026186D">
        <w:t>. All Ayes.</w:t>
      </w:r>
      <w:r w:rsidR="00383C27">
        <w:t xml:space="preserve"> </w:t>
      </w:r>
    </w:p>
    <w:p w:rsidR="00C770AE" w:rsidRDefault="00C770AE" w:rsidP="00892DC5">
      <w:pPr>
        <w:pStyle w:val="NoSpacing"/>
      </w:pPr>
    </w:p>
    <w:p w:rsidR="00C770AE" w:rsidRDefault="00C770AE" w:rsidP="00892DC5">
      <w:pPr>
        <w:pStyle w:val="NoSpacing"/>
      </w:pPr>
      <w:r>
        <w:t>Motion to approve a 28E agreement with Mills County Communications Center by Silcock, second Wake. All Ayes.</w:t>
      </w:r>
    </w:p>
    <w:p w:rsidR="00C770AE" w:rsidRDefault="00C770AE" w:rsidP="00892DC5">
      <w:pPr>
        <w:pStyle w:val="NoSpacing"/>
      </w:pPr>
    </w:p>
    <w:p w:rsidR="00C770AE" w:rsidRDefault="00C770AE" w:rsidP="00892DC5">
      <w:pPr>
        <w:pStyle w:val="NoSpacing"/>
      </w:pPr>
      <w:r>
        <w:t>Matt Woods will speak to the council on July 24, 2019 regarding the annexation process.</w:t>
      </w:r>
    </w:p>
    <w:p w:rsidR="00C770AE" w:rsidRDefault="00C770AE" w:rsidP="00892DC5">
      <w:pPr>
        <w:pStyle w:val="NoSpacing"/>
      </w:pPr>
    </w:p>
    <w:p w:rsidR="00C770AE" w:rsidRDefault="00C770AE" w:rsidP="00892DC5">
      <w:pPr>
        <w:pStyle w:val="NoSpacing"/>
      </w:pPr>
      <w:r>
        <w:t>Gene Clapper updated the city on the new library project fundraising, donation and grant award status.</w:t>
      </w:r>
    </w:p>
    <w:p w:rsidR="00C770AE" w:rsidRDefault="00C770AE" w:rsidP="00892DC5">
      <w:pPr>
        <w:pStyle w:val="NoSpacing"/>
      </w:pPr>
    </w:p>
    <w:p w:rsidR="00C770AE" w:rsidRDefault="00C770AE" w:rsidP="00892DC5">
      <w:pPr>
        <w:pStyle w:val="NoSpacing"/>
      </w:pPr>
      <w:r>
        <w:t>Motion to approve the updated Tabor Fire Department bylaws</w:t>
      </w:r>
      <w:r w:rsidR="00AD4CAB">
        <w:t xml:space="preserve"> by Wirth, second Bartholomew. All Ayes.</w:t>
      </w:r>
    </w:p>
    <w:p w:rsidR="00AD4CAB" w:rsidRDefault="00AD4CAB" w:rsidP="00892DC5">
      <w:pPr>
        <w:pStyle w:val="NoSpacing"/>
      </w:pPr>
    </w:p>
    <w:p w:rsidR="00AD4CAB" w:rsidRDefault="00AD4CAB" w:rsidP="00892DC5">
      <w:pPr>
        <w:pStyle w:val="NoSpacing"/>
      </w:pPr>
      <w:r>
        <w:t>The sidewalk around 801 West Street was discussed. The sidewalk committee will look into this and contact the zoning committee about a review and possible update of the sidewalk ordinance.</w:t>
      </w:r>
    </w:p>
    <w:p w:rsidR="00C770AE" w:rsidRDefault="00C770AE" w:rsidP="00892DC5">
      <w:pPr>
        <w:pStyle w:val="NoSpacing"/>
      </w:pPr>
    </w:p>
    <w:p w:rsidR="00AD4CAB" w:rsidRDefault="00AD4CAB" w:rsidP="00892DC5">
      <w:pPr>
        <w:pStyle w:val="NoSpacing"/>
      </w:pPr>
      <w:r>
        <w:t>Motion by Silcock, second Wirth to make an offer to buy a section of property at 404 Elm St. All Ayes.</w:t>
      </w:r>
    </w:p>
    <w:p w:rsidR="009432BF" w:rsidRDefault="009432BF" w:rsidP="009432BF">
      <w:pPr>
        <w:pStyle w:val="NoSpacing"/>
      </w:pPr>
    </w:p>
    <w:p w:rsidR="00727E1E" w:rsidRDefault="009B1884" w:rsidP="00892DC5">
      <w:pPr>
        <w:pStyle w:val="NoSpacing"/>
      </w:pPr>
      <w:r>
        <w:t>Motion to adjo</w:t>
      </w:r>
      <w:r w:rsidR="00AD4CAB">
        <w:t>urn by Silcock</w:t>
      </w:r>
      <w:r w:rsidR="00E578A7">
        <w:t xml:space="preserve">, </w:t>
      </w:r>
      <w:r w:rsidR="00F6339D">
        <w:t xml:space="preserve">second </w:t>
      </w:r>
      <w:r w:rsidR="00AD4CAB">
        <w:t>Wirth</w:t>
      </w:r>
      <w:r w:rsidR="00F6339D">
        <w:t>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AD4CAB">
        <w:t>07</w:t>
      </w:r>
      <w:r w:rsidR="00F6339D">
        <w:t>/1</w:t>
      </w:r>
      <w:r w:rsidR="00AD4CAB">
        <w:t>7</w:t>
      </w:r>
      <w:r w:rsidR="00A2643B">
        <w:t>/2019</w:t>
      </w:r>
    </w:p>
    <w:p w:rsidR="00AD09A5" w:rsidRDefault="00AD09A5" w:rsidP="009C4BF4">
      <w:pPr>
        <w:pStyle w:val="NoSpacing"/>
      </w:pPr>
    </w:p>
    <w:p w:rsidR="00F6339D" w:rsidRDefault="00F6339D" w:rsidP="009C4BF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1330"/>
      </w:tblGrid>
      <w:tr w:rsidR="00A80AC0" w:rsidRPr="00A80AC0" w:rsidTr="00A80AC0">
        <w:trPr>
          <w:trHeight w:val="825"/>
        </w:trPr>
        <w:tc>
          <w:tcPr>
            <w:tcW w:w="2220" w:type="dxa"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June Receipts:                  General $80,668.20,              Road Use $11,184.00,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</w:p>
        </w:tc>
      </w:tr>
      <w:tr w:rsidR="00A80AC0" w:rsidRPr="00A80AC0" w:rsidTr="00A80AC0">
        <w:trPr>
          <w:trHeight w:val="585"/>
        </w:trPr>
        <w:tc>
          <w:tcPr>
            <w:tcW w:w="2220" w:type="dxa"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Water $23,149.00                         Cap </w:t>
            </w:r>
            <w:proofErr w:type="spellStart"/>
            <w:r w:rsidRPr="00A80AC0">
              <w:t>Proj</w:t>
            </w:r>
            <w:proofErr w:type="spellEnd"/>
            <w:r w:rsidRPr="00A80AC0">
              <w:t xml:space="preserve"> $71,156.00,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</w:p>
        </w:tc>
      </w:tr>
      <w:tr w:rsidR="00A80AC0" w:rsidRPr="00A80AC0" w:rsidTr="00A80AC0">
        <w:trPr>
          <w:trHeight w:val="255"/>
        </w:trPr>
        <w:tc>
          <w:tcPr>
            <w:tcW w:w="2220" w:type="dxa"/>
            <w:hideMark/>
          </w:tcPr>
          <w:p w:rsidR="00A80AC0" w:rsidRPr="00A80AC0" w:rsidRDefault="00A80AC0" w:rsidP="00A80AC0">
            <w:pPr>
              <w:pStyle w:val="NoSpacing"/>
            </w:pP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</w:p>
        </w:tc>
      </w:tr>
      <w:tr w:rsidR="00A80AC0" w:rsidRPr="00A80AC0" w:rsidTr="00A80AC0">
        <w:trPr>
          <w:trHeight w:val="300"/>
        </w:trPr>
        <w:tc>
          <w:tcPr>
            <w:tcW w:w="3400" w:type="dxa"/>
            <w:gridSpan w:val="2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lastRenderedPageBreak/>
              <w:t>The following bills were allowed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ACCO     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$528.88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ALLIANZ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$58.33</w:t>
            </w:r>
            <w:bookmarkStart w:id="0" w:name="_GoBack"/>
            <w:bookmarkEnd w:id="0"/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AMAZON   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$801.99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B&amp;T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$79.48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BEACON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$663.92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BIBLIONIX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$800.00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BHE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$167.27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CHAT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$264.27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COUNSEL  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$157.94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DAN WILLIS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$61,691.40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DAWN MILLER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$634.31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DELAVANS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$325.42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EMP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$346.30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EMS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$1,018.84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FSD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$195.06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FIRE SVC TRNG BUREAU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$4,150.00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FNB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$780.54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FREM CO LF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$1,094.11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FREM CO RECORDER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$115.40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FCSO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$323.00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GLEWNOOD F&amp;R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$90.00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GSB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$4,474.00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GOLDEN MAGIC PROD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$200.00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GREAT AM FIN SVC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$189.00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HENNINGSEN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$109,044.92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IA DNR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$203.96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IA ONE CALL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$24.30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IA RWA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$150.00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JESTER PUPPETS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$350.00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KEYSTONE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$328.90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KRIEGLER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$236.76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LINCOLN LIFE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$277.50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MAINSTAY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$420.00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MAKE     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$24.99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MID AM RESEARCH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$93.60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MARY JANES FARM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$19.95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MARY KING BATEMAN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$1,162.75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MENARDS  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$222.71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MAE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$4,619.53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MILLS CO COMM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$672.00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MOD WOODMAN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$444.26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NISHNA INS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$1,341.76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NOAHS ARK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$234.80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ORKIN    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$175.00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lastRenderedPageBreak/>
              <w:t xml:space="preserve">PLUM CREEK CUSTOMS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$9,200.00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POST OFFICE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$138.60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RAINBOW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$2,485.87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RICHARDSON SANIT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$613.00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SHADETREE LAWN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$4,469.36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SHEPHERD CONST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$2,225.00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SWIPCO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$676.00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SPIRAL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$10.00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TED HILL 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$381.15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THE IOWAN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$24.00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UPS      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$60.90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WELLMARK 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$5,188.51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WEX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$1,037.57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WINDSTREAM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$446.41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 xml:space="preserve">WINSUPPLY                     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$119.04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WORTH CONST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$13,000.00</w:t>
            </w:r>
          </w:p>
        </w:tc>
      </w:tr>
      <w:tr w:rsidR="00A80AC0" w:rsidRPr="00A80AC0" w:rsidTr="00A80AC0">
        <w:trPr>
          <w:trHeight w:val="300"/>
        </w:trPr>
        <w:tc>
          <w:tcPr>
            <w:tcW w:w="222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TOTAL</w:t>
            </w:r>
          </w:p>
        </w:tc>
        <w:tc>
          <w:tcPr>
            <w:tcW w:w="1180" w:type="dxa"/>
            <w:noWrap/>
            <w:hideMark/>
          </w:tcPr>
          <w:p w:rsidR="00A80AC0" w:rsidRPr="00A80AC0" w:rsidRDefault="00A80AC0" w:rsidP="00A80AC0">
            <w:pPr>
              <w:pStyle w:val="NoSpacing"/>
            </w:pPr>
            <w:r w:rsidRPr="00A80AC0">
              <w:t>$239,272.56</w:t>
            </w:r>
          </w:p>
        </w:tc>
      </w:tr>
    </w:tbl>
    <w:p w:rsidR="00E578A7" w:rsidRDefault="00E578A7" w:rsidP="009C4BF4">
      <w:pPr>
        <w:pStyle w:val="NoSpacing"/>
      </w:pPr>
    </w:p>
    <w:p w:rsidR="00D12786" w:rsidRDefault="00D12786" w:rsidP="009C4BF4">
      <w:pPr>
        <w:pStyle w:val="NoSpacing"/>
      </w:pPr>
    </w:p>
    <w:p w:rsidR="00C24C70" w:rsidRDefault="00C24C70" w:rsidP="009C4BF4">
      <w:pPr>
        <w:pStyle w:val="NoSpacing"/>
      </w:pPr>
    </w:p>
    <w:sectPr w:rsidR="00C24C70" w:rsidSect="00323693">
      <w:pgSz w:w="12240" w:h="15840" w:code="1"/>
      <w:pgMar w:top="547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77" w:rsidRDefault="006A0377" w:rsidP="006167A6">
      <w:pPr>
        <w:spacing w:after="0" w:line="240" w:lineRule="auto"/>
      </w:pPr>
      <w:r>
        <w:separator/>
      </w:r>
    </w:p>
  </w:endnote>
  <w:endnote w:type="continuationSeparator" w:id="0">
    <w:p w:rsidR="006A0377" w:rsidRDefault="006A0377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77" w:rsidRDefault="006A0377" w:rsidP="006167A6">
      <w:pPr>
        <w:spacing w:after="0" w:line="240" w:lineRule="auto"/>
      </w:pPr>
      <w:r>
        <w:separator/>
      </w:r>
    </w:p>
  </w:footnote>
  <w:footnote w:type="continuationSeparator" w:id="0">
    <w:p w:rsidR="006A0377" w:rsidRDefault="006A0377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47A5"/>
    <w:rsid w:val="00007BCB"/>
    <w:rsid w:val="00043115"/>
    <w:rsid w:val="000479EE"/>
    <w:rsid w:val="00062182"/>
    <w:rsid w:val="0006582D"/>
    <w:rsid w:val="000661C8"/>
    <w:rsid w:val="000831F4"/>
    <w:rsid w:val="00083A01"/>
    <w:rsid w:val="00084EB9"/>
    <w:rsid w:val="00097E1C"/>
    <w:rsid w:val="000B0A33"/>
    <w:rsid w:val="000C2C54"/>
    <w:rsid w:val="000F0224"/>
    <w:rsid w:val="000F481B"/>
    <w:rsid w:val="00100F9C"/>
    <w:rsid w:val="00103C69"/>
    <w:rsid w:val="00124DFF"/>
    <w:rsid w:val="00131F32"/>
    <w:rsid w:val="00133800"/>
    <w:rsid w:val="00151E5C"/>
    <w:rsid w:val="00165392"/>
    <w:rsid w:val="001706B7"/>
    <w:rsid w:val="001749FA"/>
    <w:rsid w:val="00176879"/>
    <w:rsid w:val="001810BE"/>
    <w:rsid w:val="00194290"/>
    <w:rsid w:val="001B643A"/>
    <w:rsid w:val="001D2838"/>
    <w:rsid w:val="001E19D0"/>
    <w:rsid w:val="001E27CF"/>
    <w:rsid w:val="001E6493"/>
    <w:rsid w:val="0021072B"/>
    <w:rsid w:val="00211C8B"/>
    <w:rsid w:val="0026186D"/>
    <w:rsid w:val="002820BB"/>
    <w:rsid w:val="002823B8"/>
    <w:rsid w:val="00293488"/>
    <w:rsid w:val="00296888"/>
    <w:rsid w:val="002A1CEF"/>
    <w:rsid w:val="002C12B5"/>
    <w:rsid w:val="002D0A02"/>
    <w:rsid w:val="002E7C8B"/>
    <w:rsid w:val="0030373F"/>
    <w:rsid w:val="00305DDC"/>
    <w:rsid w:val="00311DC5"/>
    <w:rsid w:val="00323693"/>
    <w:rsid w:val="00323CCF"/>
    <w:rsid w:val="00327EB5"/>
    <w:rsid w:val="003326E5"/>
    <w:rsid w:val="00334486"/>
    <w:rsid w:val="003467FB"/>
    <w:rsid w:val="00362828"/>
    <w:rsid w:val="00374037"/>
    <w:rsid w:val="00375661"/>
    <w:rsid w:val="00383C27"/>
    <w:rsid w:val="003859D3"/>
    <w:rsid w:val="00391349"/>
    <w:rsid w:val="003B06C6"/>
    <w:rsid w:val="003D20F9"/>
    <w:rsid w:val="003F3D5E"/>
    <w:rsid w:val="00417F92"/>
    <w:rsid w:val="0043058C"/>
    <w:rsid w:val="00435DED"/>
    <w:rsid w:val="00441930"/>
    <w:rsid w:val="00451A2E"/>
    <w:rsid w:val="004648AF"/>
    <w:rsid w:val="0047119F"/>
    <w:rsid w:val="004813DC"/>
    <w:rsid w:val="00481A55"/>
    <w:rsid w:val="004873D2"/>
    <w:rsid w:val="00491072"/>
    <w:rsid w:val="004A3085"/>
    <w:rsid w:val="004A7FEE"/>
    <w:rsid w:val="004B0242"/>
    <w:rsid w:val="004E32A6"/>
    <w:rsid w:val="004F7AA8"/>
    <w:rsid w:val="00501358"/>
    <w:rsid w:val="00521FD9"/>
    <w:rsid w:val="005257AB"/>
    <w:rsid w:val="00526839"/>
    <w:rsid w:val="005313D8"/>
    <w:rsid w:val="00531D34"/>
    <w:rsid w:val="00542643"/>
    <w:rsid w:val="005455ED"/>
    <w:rsid w:val="0058625C"/>
    <w:rsid w:val="005A5190"/>
    <w:rsid w:val="005C2288"/>
    <w:rsid w:val="005C7379"/>
    <w:rsid w:val="005D1C00"/>
    <w:rsid w:val="005E4646"/>
    <w:rsid w:val="005F07E3"/>
    <w:rsid w:val="005F5B03"/>
    <w:rsid w:val="00602716"/>
    <w:rsid w:val="0061281A"/>
    <w:rsid w:val="006167A6"/>
    <w:rsid w:val="0066285B"/>
    <w:rsid w:val="00673D60"/>
    <w:rsid w:val="00675942"/>
    <w:rsid w:val="006769AF"/>
    <w:rsid w:val="006861A0"/>
    <w:rsid w:val="006943C9"/>
    <w:rsid w:val="006A0377"/>
    <w:rsid w:val="006A6524"/>
    <w:rsid w:val="006B16DF"/>
    <w:rsid w:val="006B1C06"/>
    <w:rsid w:val="006C26A7"/>
    <w:rsid w:val="006D1F4E"/>
    <w:rsid w:val="006E3A01"/>
    <w:rsid w:val="006E62F4"/>
    <w:rsid w:val="006F14E1"/>
    <w:rsid w:val="007015A4"/>
    <w:rsid w:val="00703329"/>
    <w:rsid w:val="00727E1E"/>
    <w:rsid w:val="00730B21"/>
    <w:rsid w:val="007523D0"/>
    <w:rsid w:val="007529D1"/>
    <w:rsid w:val="00753541"/>
    <w:rsid w:val="0075613F"/>
    <w:rsid w:val="00784BF3"/>
    <w:rsid w:val="007A0F00"/>
    <w:rsid w:val="007A0F11"/>
    <w:rsid w:val="007B63FF"/>
    <w:rsid w:val="007C374F"/>
    <w:rsid w:val="007C4FDD"/>
    <w:rsid w:val="007E0613"/>
    <w:rsid w:val="007F2975"/>
    <w:rsid w:val="007F3BF1"/>
    <w:rsid w:val="007F74A5"/>
    <w:rsid w:val="00803D64"/>
    <w:rsid w:val="0081184A"/>
    <w:rsid w:val="0083373F"/>
    <w:rsid w:val="008574AB"/>
    <w:rsid w:val="008743BF"/>
    <w:rsid w:val="00892DC5"/>
    <w:rsid w:val="008C0AC8"/>
    <w:rsid w:val="008D73B1"/>
    <w:rsid w:val="00904DC4"/>
    <w:rsid w:val="009127C8"/>
    <w:rsid w:val="0091369D"/>
    <w:rsid w:val="0091698A"/>
    <w:rsid w:val="009241D0"/>
    <w:rsid w:val="009432BF"/>
    <w:rsid w:val="0094488C"/>
    <w:rsid w:val="0094504F"/>
    <w:rsid w:val="0094779E"/>
    <w:rsid w:val="00954E8E"/>
    <w:rsid w:val="009659AA"/>
    <w:rsid w:val="00966BB8"/>
    <w:rsid w:val="009729DC"/>
    <w:rsid w:val="009805FC"/>
    <w:rsid w:val="00981538"/>
    <w:rsid w:val="00986ED0"/>
    <w:rsid w:val="009A02B6"/>
    <w:rsid w:val="009B0E64"/>
    <w:rsid w:val="009B1884"/>
    <w:rsid w:val="009B4735"/>
    <w:rsid w:val="009C4BF4"/>
    <w:rsid w:val="009E0E0E"/>
    <w:rsid w:val="009F0591"/>
    <w:rsid w:val="009F78EE"/>
    <w:rsid w:val="00A0272A"/>
    <w:rsid w:val="00A0670A"/>
    <w:rsid w:val="00A2643B"/>
    <w:rsid w:val="00A51162"/>
    <w:rsid w:val="00A6095B"/>
    <w:rsid w:val="00A667FD"/>
    <w:rsid w:val="00A80AC0"/>
    <w:rsid w:val="00A835EE"/>
    <w:rsid w:val="00AA56E2"/>
    <w:rsid w:val="00AB4746"/>
    <w:rsid w:val="00AB5DA4"/>
    <w:rsid w:val="00AD09A5"/>
    <w:rsid w:val="00AD4CAB"/>
    <w:rsid w:val="00B2370C"/>
    <w:rsid w:val="00B3464E"/>
    <w:rsid w:val="00B34A5B"/>
    <w:rsid w:val="00B36C0E"/>
    <w:rsid w:val="00B4161D"/>
    <w:rsid w:val="00B41630"/>
    <w:rsid w:val="00B44FA0"/>
    <w:rsid w:val="00B503B8"/>
    <w:rsid w:val="00B510A3"/>
    <w:rsid w:val="00B771EA"/>
    <w:rsid w:val="00BA13AC"/>
    <w:rsid w:val="00BA599A"/>
    <w:rsid w:val="00BA77F0"/>
    <w:rsid w:val="00BB035C"/>
    <w:rsid w:val="00BB4FB1"/>
    <w:rsid w:val="00BD092E"/>
    <w:rsid w:val="00BD1AE2"/>
    <w:rsid w:val="00C1067A"/>
    <w:rsid w:val="00C24C70"/>
    <w:rsid w:val="00C33BE6"/>
    <w:rsid w:val="00C44376"/>
    <w:rsid w:val="00C63046"/>
    <w:rsid w:val="00C770AE"/>
    <w:rsid w:val="00C8121D"/>
    <w:rsid w:val="00C86265"/>
    <w:rsid w:val="00C93E3E"/>
    <w:rsid w:val="00C9582E"/>
    <w:rsid w:val="00C96A66"/>
    <w:rsid w:val="00CA2078"/>
    <w:rsid w:val="00CA4F33"/>
    <w:rsid w:val="00CB0ECD"/>
    <w:rsid w:val="00CB2F68"/>
    <w:rsid w:val="00CB3C0D"/>
    <w:rsid w:val="00CC1D72"/>
    <w:rsid w:val="00CD02DC"/>
    <w:rsid w:val="00CF2020"/>
    <w:rsid w:val="00D05004"/>
    <w:rsid w:val="00D06AFF"/>
    <w:rsid w:val="00D12394"/>
    <w:rsid w:val="00D12786"/>
    <w:rsid w:val="00D30D02"/>
    <w:rsid w:val="00D316ED"/>
    <w:rsid w:val="00D46A4E"/>
    <w:rsid w:val="00D54A4E"/>
    <w:rsid w:val="00D77C57"/>
    <w:rsid w:val="00D86C96"/>
    <w:rsid w:val="00DA2F60"/>
    <w:rsid w:val="00DB5856"/>
    <w:rsid w:val="00DC16DC"/>
    <w:rsid w:val="00DC2933"/>
    <w:rsid w:val="00DC4672"/>
    <w:rsid w:val="00DC6D78"/>
    <w:rsid w:val="00DE7F11"/>
    <w:rsid w:val="00E23C3A"/>
    <w:rsid w:val="00E4164B"/>
    <w:rsid w:val="00E45519"/>
    <w:rsid w:val="00E5229D"/>
    <w:rsid w:val="00E578A7"/>
    <w:rsid w:val="00E75251"/>
    <w:rsid w:val="00E81342"/>
    <w:rsid w:val="00EB3E56"/>
    <w:rsid w:val="00ED3D2C"/>
    <w:rsid w:val="00EF011D"/>
    <w:rsid w:val="00EF4265"/>
    <w:rsid w:val="00F53031"/>
    <w:rsid w:val="00F6339D"/>
    <w:rsid w:val="00F635ED"/>
    <w:rsid w:val="00F67132"/>
    <w:rsid w:val="00F734BD"/>
    <w:rsid w:val="00FB7482"/>
    <w:rsid w:val="00FD2CF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2</cp:revision>
  <cp:lastPrinted>2019-06-13T22:41:00Z</cp:lastPrinted>
  <dcterms:created xsi:type="dcterms:W3CDTF">2019-07-19T20:27:00Z</dcterms:created>
  <dcterms:modified xsi:type="dcterms:W3CDTF">2019-07-19T20:27:00Z</dcterms:modified>
</cp:coreProperties>
</file>